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98" w:rsidRPr="009A68CC" w:rsidRDefault="00DF2B98" w:rsidP="00B33B2A">
      <w:pPr>
        <w:widowControl/>
        <w:shd w:val="clear" w:color="auto" w:fill="FFFFFF"/>
        <w:spacing w:line="360" w:lineRule="atLeast"/>
        <w:jc w:val="left"/>
        <w:rPr>
          <w:rFonts w:ascii="仿宋" w:eastAsia="仿宋" w:hAnsi="仿宋" w:cs="宋体"/>
          <w:kern w:val="0"/>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450"/>
        <w:gridCol w:w="6120"/>
      </w:tblGrid>
      <w:tr w:rsidR="00DB214C" w:rsidRPr="00B33B2A" w:rsidTr="00C802EB">
        <w:trPr>
          <w:trHeight w:val="96"/>
        </w:trPr>
        <w:tc>
          <w:tcPr>
            <w:tcW w:w="1890" w:type="dxa"/>
          </w:tcPr>
          <w:p w:rsidR="00DB214C" w:rsidRPr="00B33B2A" w:rsidRDefault="00DB214C" w:rsidP="00C802EB">
            <w:pPr>
              <w:spacing w:line="360" w:lineRule="auto"/>
              <w:rPr>
                <w:rFonts w:ascii="仿宋" w:eastAsia="仿宋" w:hAnsi="仿宋" w:cs="Arial"/>
                <w:b/>
                <w:bCs/>
                <w:szCs w:val="21"/>
              </w:rPr>
            </w:pPr>
            <w:r w:rsidRPr="00B33B2A">
              <w:rPr>
                <w:rFonts w:ascii="仿宋" w:eastAsia="仿宋" w:hAnsi="仿宋" w:cs="Arial" w:hint="eastAsia"/>
                <w:b/>
                <w:bCs/>
                <w:szCs w:val="21"/>
              </w:rPr>
              <w:t>投保人</w:t>
            </w:r>
          </w:p>
        </w:tc>
        <w:tc>
          <w:tcPr>
            <w:tcW w:w="450" w:type="dxa"/>
          </w:tcPr>
          <w:p w:rsidR="00DB214C" w:rsidRPr="00B33B2A" w:rsidRDefault="00DB214C" w:rsidP="00C802EB">
            <w:pPr>
              <w:spacing w:line="360" w:lineRule="auto"/>
              <w:rPr>
                <w:rFonts w:ascii="仿宋" w:eastAsia="仿宋" w:hAnsi="仿宋" w:cs="Arial"/>
                <w:b/>
                <w:bCs/>
                <w:szCs w:val="21"/>
              </w:rPr>
            </w:pPr>
            <w:r w:rsidRPr="00B33B2A">
              <w:rPr>
                <w:rFonts w:ascii="仿宋" w:eastAsia="仿宋" w:hAnsi="仿宋" w:cs="Arial" w:hint="eastAsia"/>
                <w:b/>
                <w:bCs/>
                <w:szCs w:val="21"/>
              </w:rPr>
              <w:t>:</w:t>
            </w:r>
          </w:p>
        </w:tc>
        <w:tc>
          <w:tcPr>
            <w:tcW w:w="6120" w:type="dxa"/>
          </w:tcPr>
          <w:p w:rsidR="00DB214C" w:rsidRPr="00B33B2A" w:rsidRDefault="00DB214C" w:rsidP="00C802EB">
            <w:pPr>
              <w:tabs>
                <w:tab w:val="left" w:pos="0"/>
                <w:tab w:val="left" w:pos="630"/>
              </w:tabs>
              <w:jc w:val="left"/>
              <w:rPr>
                <w:rFonts w:ascii="仿宋" w:eastAsia="仿宋" w:hAnsi="仿宋" w:cs="Arial"/>
                <w:bCs/>
                <w:szCs w:val="21"/>
              </w:rPr>
            </w:pPr>
            <w:r w:rsidRPr="00B33B2A">
              <w:rPr>
                <w:rFonts w:ascii="仿宋" w:eastAsia="仿宋" w:hAnsi="仿宋" w:hint="eastAsia"/>
                <w:szCs w:val="21"/>
                <w:lang w:val="zh-CN"/>
              </w:rPr>
              <w:t>苏州阳澄湖半岛旅游服务有限公司</w:t>
            </w:r>
          </w:p>
        </w:tc>
      </w:tr>
      <w:tr w:rsidR="00DB214C" w:rsidRPr="00B33B2A" w:rsidTr="00C802EB">
        <w:trPr>
          <w:trHeight w:val="417"/>
        </w:trPr>
        <w:tc>
          <w:tcPr>
            <w:tcW w:w="1890" w:type="dxa"/>
          </w:tcPr>
          <w:p w:rsidR="00DB214C" w:rsidRPr="00B33B2A" w:rsidRDefault="00DB214C" w:rsidP="00C802EB">
            <w:pPr>
              <w:spacing w:line="360" w:lineRule="auto"/>
              <w:rPr>
                <w:rFonts w:ascii="仿宋" w:eastAsia="仿宋" w:hAnsi="仿宋" w:cs="Arial"/>
                <w:b/>
                <w:bCs/>
                <w:szCs w:val="21"/>
              </w:rPr>
            </w:pPr>
            <w:r w:rsidRPr="00B33B2A">
              <w:rPr>
                <w:rFonts w:ascii="仿宋" w:eastAsia="仿宋" w:hAnsi="仿宋" w:cs="Arial" w:hint="eastAsia"/>
                <w:b/>
                <w:bCs/>
                <w:szCs w:val="21"/>
              </w:rPr>
              <w:t>投保人地址</w:t>
            </w:r>
          </w:p>
        </w:tc>
        <w:tc>
          <w:tcPr>
            <w:tcW w:w="450" w:type="dxa"/>
          </w:tcPr>
          <w:p w:rsidR="00DB214C" w:rsidRPr="00B33B2A" w:rsidRDefault="00DB214C" w:rsidP="00C802EB">
            <w:pPr>
              <w:spacing w:line="360" w:lineRule="auto"/>
              <w:rPr>
                <w:rFonts w:ascii="仿宋" w:eastAsia="仿宋" w:hAnsi="仿宋" w:cs="Arial"/>
                <w:b/>
                <w:bCs/>
                <w:szCs w:val="21"/>
              </w:rPr>
            </w:pPr>
            <w:r w:rsidRPr="00B33B2A">
              <w:rPr>
                <w:rFonts w:ascii="仿宋" w:eastAsia="仿宋" w:hAnsi="仿宋" w:cs="Arial" w:hint="eastAsia"/>
                <w:b/>
                <w:bCs/>
                <w:szCs w:val="21"/>
              </w:rPr>
              <w:t>:</w:t>
            </w:r>
          </w:p>
        </w:tc>
        <w:tc>
          <w:tcPr>
            <w:tcW w:w="6120" w:type="dxa"/>
          </w:tcPr>
          <w:p w:rsidR="00DB214C" w:rsidRPr="00B33B2A" w:rsidRDefault="00DB214C" w:rsidP="00C802EB">
            <w:pPr>
              <w:spacing w:line="360" w:lineRule="auto"/>
              <w:jc w:val="left"/>
              <w:rPr>
                <w:rFonts w:ascii="仿宋" w:eastAsia="仿宋" w:hAnsi="仿宋" w:cs="Arial"/>
                <w:szCs w:val="21"/>
              </w:rPr>
            </w:pPr>
            <w:r w:rsidRPr="00B33B2A">
              <w:rPr>
                <w:rFonts w:ascii="仿宋" w:eastAsia="仿宋" w:hAnsi="仿宋" w:cs="Arial" w:hint="eastAsia"/>
                <w:szCs w:val="21"/>
              </w:rPr>
              <w:t>苏州工业园区阳澄湖半岛慈云路9号</w:t>
            </w:r>
          </w:p>
        </w:tc>
      </w:tr>
      <w:tr w:rsidR="00DB214C" w:rsidRPr="00B33B2A" w:rsidTr="00C802EB">
        <w:trPr>
          <w:trHeight w:val="90"/>
        </w:trPr>
        <w:tc>
          <w:tcPr>
            <w:tcW w:w="1890" w:type="dxa"/>
          </w:tcPr>
          <w:p w:rsidR="00DB214C" w:rsidRPr="00B33B2A" w:rsidRDefault="00DB214C" w:rsidP="00C802EB">
            <w:pPr>
              <w:spacing w:line="360" w:lineRule="auto"/>
              <w:rPr>
                <w:rFonts w:ascii="仿宋" w:eastAsia="仿宋" w:hAnsi="仿宋" w:cs="Arial"/>
                <w:b/>
                <w:bCs/>
                <w:szCs w:val="21"/>
              </w:rPr>
            </w:pPr>
            <w:r w:rsidRPr="00B33B2A">
              <w:rPr>
                <w:rFonts w:ascii="仿宋" w:eastAsia="仿宋" w:hAnsi="仿宋" w:cs="Arial" w:hint="eastAsia"/>
                <w:b/>
                <w:bCs/>
                <w:szCs w:val="21"/>
              </w:rPr>
              <w:t>被保险人</w:t>
            </w:r>
          </w:p>
        </w:tc>
        <w:tc>
          <w:tcPr>
            <w:tcW w:w="450" w:type="dxa"/>
          </w:tcPr>
          <w:p w:rsidR="00DB214C" w:rsidRPr="00B33B2A" w:rsidRDefault="00DB214C" w:rsidP="00C802EB">
            <w:pPr>
              <w:spacing w:line="360" w:lineRule="auto"/>
              <w:rPr>
                <w:rFonts w:ascii="仿宋" w:eastAsia="仿宋" w:hAnsi="仿宋" w:cs="Arial"/>
                <w:b/>
                <w:bCs/>
                <w:szCs w:val="21"/>
              </w:rPr>
            </w:pPr>
            <w:r w:rsidRPr="00B33B2A">
              <w:rPr>
                <w:rFonts w:ascii="仿宋" w:eastAsia="仿宋" w:hAnsi="仿宋" w:cs="Arial" w:hint="eastAsia"/>
                <w:b/>
                <w:bCs/>
                <w:szCs w:val="21"/>
              </w:rPr>
              <w:t>:</w:t>
            </w:r>
          </w:p>
        </w:tc>
        <w:tc>
          <w:tcPr>
            <w:tcW w:w="6120" w:type="dxa"/>
          </w:tcPr>
          <w:p w:rsidR="00DB214C" w:rsidRPr="00B33B2A" w:rsidRDefault="00DB214C" w:rsidP="00DB214C">
            <w:pPr>
              <w:numPr>
                <w:ilvl w:val="0"/>
                <w:numId w:val="3"/>
              </w:numPr>
              <w:spacing w:line="360" w:lineRule="auto"/>
              <w:rPr>
                <w:rFonts w:ascii="仿宋" w:eastAsia="仿宋" w:hAnsi="仿宋"/>
                <w:szCs w:val="21"/>
                <w:lang w:val="zh-CN"/>
              </w:rPr>
            </w:pPr>
            <w:r w:rsidRPr="00B33B2A">
              <w:rPr>
                <w:rFonts w:ascii="仿宋" w:eastAsia="仿宋" w:hAnsi="仿宋" w:hint="eastAsia"/>
                <w:szCs w:val="21"/>
                <w:lang w:val="zh-CN"/>
              </w:rPr>
              <w:t>苏州阳澄湖半岛旅游服务有限公司</w:t>
            </w:r>
          </w:p>
          <w:p w:rsidR="00DB214C" w:rsidRPr="00B33B2A" w:rsidRDefault="00DB214C" w:rsidP="00DB214C">
            <w:pPr>
              <w:numPr>
                <w:ilvl w:val="0"/>
                <w:numId w:val="3"/>
              </w:numPr>
              <w:spacing w:line="360" w:lineRule="auto"/>
              <w:rPr>
                <w:rFonts w:ascii="仿宋" w:eastAsia="仿宋" w:hAnsi="仿宋"/>
                <w:szCs w:val="21"/>
                <w:lang w:val="zh-CN"/>
              </w:rPr>
            </w:pPr>
            <w:r w:rsidRPr="00B33B2A">
              <w:rPr>
                <w:rFonts w:ascii="仿宋" w:eastAsia="仿宋" w:hAnsi="仿宋" w:cs="Arial" w:hint="eastAsia"/>
                <w:szCs w:val="21"/>
              </w:rPr>
              <w:t>苏州工业园区阳澄湖半岛开发建设有限公司</w:t>
            </w:r>
          </w:p>
        </w:tc>
      </w:tr>
      <w:tr w:rsidR="00DB214C" w:rsidRPr="00B33B2A" w:rsidTr="00C802EB">
        <w:trPr>
          <w:trHeight w:val="417"/>
        </w:trPr>
        <w:tc>
          <w:tcPr>
            <w:tcW w:w="1890" w:type="dxa"/>
          </w:tcPr>
          <w:p w:rsidR="00DB214C" w:rsidRPr="00B33B2A" w:rsidRDefault="00DB214C" w:rsidP="00C802EB">
            <w:pPr>
              <w:spacing w:line="360" w:lineRule="auto"/>
              <w:rPr>
                <w:rFonts w:ascii="仿宋" w:eastAsia="仿宋" w:hAnsi="仿宋" w:cs="Arial"/>
                <w:b/>
                <w:bCs/>
                <w:szCs w:val="21"/>
              </w:rPr>
            </w:pPr>
            <w:r w:rsidRPr="00B33B2A">
              <w:rPr>
                <w:rFonts w:ascii="仿宋" w:eastAsia="仿宋" w:hAnsi="仿宋" w:cs="Arial" w:hint="eastAsia"/>
                <w:b/>
                <w:bCs/>
                <w:szCs w:val="21"/>
              </w:rPr>
              <w:t>被保险人地址</w:t>
            </w:r>
          </w:p>
        </w:tc>
        <w:tc>
          <w:tcPr>
            <w:tcW w:w="450" w:type="dxa"/>
          </w:tcPr>
          <w:p w:rsidR="00DB214C" w:rsidRPr="00B33B2A" w:rsidRDefault="00DB214C" w:rsidP="00C802EB">
            <w:pPr>
              <w:spacing w:line="360" w:lineRule="auto"/>
              <w:rPr>
                <w:rFonts w:ascii="仿宋" w:eastAsia="仿宋" w:hAnsi="仿宋" w:cs="Arial"/>
                <w:b/>
                <w:bCs/>
                <w:szCs w:val="21"/>
              </w:rPr>
            </w:pPr>
            <w:r w:rsidRPr="00B33B2A">
              <w:rPr>
                <w:rFonts w:ascii="仿宋" w:eastAsia="仿宋" w:hAnsi="仿宋" w:cs="Arial" w:hint="eastAsia"/>
                <w:b/>
                <w:bCs/>
                <w:szCs w:val="21"/>
              </w:rPr>
              <w:t>:</w:t>
            </w:r>
          </w:p>
        </w:tc>
        <w:tc>
          <w:tcPr>
            <w:tcW w:w="6120" w:type="dxa"/>
          </w:tcPr>
          <w:p w:rsidR="00DB214C" w:rsidRPr="00B33B2A" w:rsidRDefault="00DB214C" w:rsidP="00C802EB">
            <w:pPr>
              <w:spacing w:line="360" w:lineRule="auto"/>
              <w:jc w:val="left"/>
              <w:rPr>
                <w:rFonts w:ascii="仿宋" w:eastAsia="仿宋" w:hAnsi="仿宋" w:cs="Arial"/>
                <w:szCs w:val="21"/>
              </w:rPr>
            </w:pPr>
            <w:r w:rsidRPr="00B33B2A">
              <w:rPr>
                <w:rFonts w:ascii="仿宋" w:eastAsia="仿宋" w:hAnsi="仿宋" w:cs="Arial" w:hint="eastAsia"/>
                <w:szCs w:val="21"/>
              </w:rPr>
              <w:t>苏州工业园区阳澄湖半岛慈云路9号</w:t>
            </w:r>
          </w:p>
        </w:tc>
      </w:tr>
      <w:tr w:rsidR="00DB214C" w:rsidRPr="00B33B2A" w:rsidTr="00C802EB">
        <w:trPr>
          <w:trHeight w:val="417"/>
        </w:trPr>
        <w:tc>
          <w:tcPr>
            <w:tcW w:w="1890" w:type="dxa"/>
          </w:tcPr>
          <w:p w:rsidR="00DB214C" w:rsidRPr="00B33B2A" w:rsidRDefault="00DB214C" w:rsidP="00C802EB">
            <w:pPr>
              <w:spacing w:line="360" w:lineRule="auto"/>
              <w:rPr>
                <w:rFonts w:ascii="仿宋" w:eastAsia="仿宋" w:hAnsi="仿宋" w:cs="Arial"/>
                <w:b/>
                <w:bCs/>
                <w:szCs w:val="21"/>
              </w:rPr>
            </w:pPr>
            <w:r w:rsidRPr="00B33B2A">
              <w:rPr>
                <w:rFonts w:ascii="仿宋" w:eastAsia="仿宋" w:hAnsi="仿宋" w:cs="Arial" w:hint="eastAsia"/>
                <w:b/>
                <w:bCs/>
                <w:szCs w:val="21"/>
              </w:rPr>
              <w:t>经营范围</w:t>
            </w:r>
          </w:p>
        </w:tc>
        <w:tc>
          <w:tcPr>
            <w:tcW w:w="450" w:type="dxa"/>
          </w:tcPr>
          <w:p w:rsidR="00DB214C" w:rsidRPr="00B33B2A" w:rsidRDefault="00DB214C" w:rsidP="00C802EB">
            <w:pPr>
              <w:spacing w:line="360" w:lineRule="auto"/>
              <w:rPr>
                <w:rFonts w:ascii="仿宋" w:eastAsia="仿宋" w:hAnsi="仿宋" w:cs="Arial"/>
                <w:b/>
                <w:bCs/>
                <w:szCs w:val="21"/>
              </w:rPr>
            </w:pPr>
            <w:r w:rsidRPr="00B33B2A">
              <w:rPr>
                <w:rFonts w:ascii="仿宋" w:eastAsia="仿宋" w:hAnsi="仿宋" w:cs="Arial" w:hint="eastAsia"/>
                <w:b/>
                <w:bCs/>
                <w:szCs w:val="21"/>
              </w:rPr>
              <w:t>:</w:t>
            </w:r>
          </w:p>
        </w:tc>
        <w:tc>
          <w:tcPr>
            <w:tcW w:w="6120" w:type="dxa"/>
          </w:tcPr>
          <w:p w:rsidR="00DB214C" w:rsidRPr="00B33B2A" w:rsidRDefault="00DB214C" w:rsidP="00C802EB">
            <w:pPr>
              <w:spacing w:line="360" w:lineRule="auto"/>
              <w:jc w:val="left"/>
              <w:rPr>
                <w:rFonts w:ascii="仿宋" w:eastAsia="仿宋" w:hAnsi="仿宋" w:cs="Arial"/>
                <w:szCs w:val="21"/>
              </w:rPr>
            </w:pPr>
            <w:r w:rsidRPr="00B33B2A">
              <w:rPr>
                <w:rFonts w:ascii="仿宋" w:eastAsia="仿宋" w:hAnsi="仿宋" w:cs="Arial" w:hint="eastAsia"/>
                <w:szCs w:val="21"/>
              </w:rPr>
              <w:t>协调从事阳澄湖半岛旅游设施开发与管理；实业投资；利用自有媒体发布广告；公园管理、景区管理；旅游信息咨询、票务代理、会务服务、展览展示服务；旅游纪念品、工艺品的研发与销售；食品销售。（依法须经批准的项目，经相关部门批准后方可开展经营活动）</w:t>
            </w:r>
          </w:p>
        </w:tc>
      </w:tr>
      <w:tr w:rsidR="00DB214C" w:rsidRPr="00B33B2A" w:rsidTr="00C802EB">
        <w:trPr>
          <w:trHeight w:val="484"/>
        </w:trPr>
        <w:tc>
          <w:tcPr>
            <w:tcW w:w="1890" w:type="dxa"/>
          </w:tcPr>
          <w:p w:rsidR="00DB214C" w:rsidRPr="00B33B2A" w:rsidRDefault="00DB214C" w:rsidP="00C802EB">
            <w:pPr>
              <w:spacing w:line="360" w:lineRule="auto"/>
              <w:rPr>
                <w:rFonts w:ascii="仿宋" w:eastAsia="仿宋" w:hAnsi="仿宋" w:cs="Arial"/>
                <w:b/>
                <w:bCs/>
                <w:szCs w:val="21"/>
              </w:rPr>
            </w:pPr>
            <w:r w:rsidRPr="00B33B2A">
              <w:rPr>
                <w:rFonts w:ascii="仿宋" w:eastAsia="仿宋" w:hAnsi="仿宋" w:cs="Arial" w:hint="eastAsia"/>
                <w:b/>
                <w:bCs/>
                <w:szCs w:val="21"/>
              </w:rPr>
              <w:t>保险期限</w:t>
            </w:r>
          </w:p>
        </w:tc>
        <w:tc>
          <w:tcPr>
            <w:tcW w:w="450" w:type="dxa"/>
          </w:tcPr>
          <w:p w:rsidR="00DB214C" w:rsidRPr="00B33B2A" w:rsidRDefault="00DB214C" w:rsidP="00C802EB">
            <w:pPr>
              <w:spacing w:line="360" w:lineRule="auto"/>
              <w:rPr>
                <w:rFonts w:ascii="仿宋" w:eastAsia="仿宋" w:hAnsi="仿宋" w:cs="Arial"/>
                <w:b/>
                <w:spacing w:val="20"/>
                <w:szCs w:val="21"/>
              </w:rPr>
            </w:pPr>
            <w:r w:rsidRPr="00B33B2A">
              <w:rPr>
                <w:rFonts w:ascii="仿宋" w:eastAsia="仿宋" w:hAnsi="仿宋" w:cs="Arial" w:hint="eastAsia"/>
                <w:b/>
                <w:spacing w:val="20"/>
                <w:szCs w:val="21"/>
              </w:rPr>
              <w:t>:</w:t>
            </w:r>
          </w:p>
        </w:tc>
        <w:tc>
          <w:tcPr>
            <w:tcW w:w="6120" w:type="dxa"/>
          </w:tcPr>
          <w:p w:rsidR="00DB214C" w:rsidRPr="00B33B2A" w:rsidRDefault="00DB214C" w:rsidP="00C802EB">
            <w:pPr>
              <w:spacing w:line="360" w:lineRule="auto"/>
              <w:rPr>
                <w:rFonts w:ascii="仿宋" w:eastAsia="仿宋" w:hAnsi="仿宋"/>
                <w:szCs w:val="21"/>
              </w:rPr>
            </w:pPr>
            <w:r w:rsidRPr="00B33B2A">
              <w:rPr>
                <w:rFonts w:ascii="仿宋" w:eastAsia="仿宋" w:hAnsi="仿宋" w:cs="Arial" w:hint="eastAsia"/>
                <w:szCs w:val="21"/>
              </w:rPr>
              <w:t>一年</w:t>
            </w:r>
          </w:p>
        </w:tc>
      </w:tr>
      <w:tr w:rsidR="00DB214C" w:rsidRPr="00B33B2A" w:rsidTr="00C802EB">
        <w:trPr>
          <w:trHeight w:val="454"/>
        </w:trPr>
        <w:tc>
          <w:tcPr>
            <w:tcW w:w="1890" w:type="dxa"/>
          </w:tcPr>
          <w:p w:rsidR="00DB214C" w:rsidRPr="00B33B2A" w:rsidRDefault="00DB214C" w:rsidP="00C802EB">
            <w:pPr>
              <w:spacing w:line="360" w:lineRule="auto"/>
              <w:rPr>
                <w:rFonts w:ascii="仿宋" w:eastAsia="仿宋" w:hAnsi="仿宋" w:cs="Arial"/>
                <w:b/>
                <w:bCs/>
                <w:szCs w:val="21"/>
              </w:rPr>
            </w:pPr>
            <w:r w:rsidRPr="00B33B2A">
              <w:rPr>
                <w:rFonts w:ascii="仿宋" w:eastAsia="仿宋" w:hAnsi="仿宋" w:cs="Arial" w:hint="eastAsia"/>
                <w:b/>
                <w:bCs/>
                <w:szCs w:val="21"/>
              </w:rPr>
              <w:t>保费支付约定</w:t>
            </w:r>
          </w:p>
        </w:tc>
        <w:tc>
          <w:tcPr>
            <w:tcW w:w="450" w:type="dxa"/>
          </w:tcPr>
          <w:p w:rsidR="00DB214C" w:rsidRPr="00B33B2A" w:rsidRDefault="00DB214C" w:rsidP="00C802EB">
            <w:pPr>
              <w:spacing w:line="360" w:lineRule="auto"/>
              <w:rPr>
                <w:rFonts w:ascii="仿宋" w:eastAsia="仿宋" w:hAnsi="仿宋" w:cs="Arial"/>
                <w:b/>
                <w:bCs/>
                <w:szCs w:val="21"/>
              </w:rPr>
            </w:pPr>
            <w:r w:rsidRPr="00B33B2A">
              <w:rPr>
                <w:rFonts w:ascii="仿宋" w:eastAsia="仿宋" w:hAnsi="仿宋" w:cs="Arial" w:hint="eastAsia"/>
                <w:b/>
                <w:spacing w:val="20"/>
                <w:szCs w:val="21"/>
              </w:rPr>
              <w:t>:</w:t>
            </w:r>
          </w:p>
        </w:tc>
        <w:tc>
          <w:tcPr>
            <w:tcW w:w="6120" w:type="dxa"/>
          </w:tcPr>
          <w:p w:rsidR="00DB214C" w:rsidRPr="00B33B2A" w:rsidRDefault="00DB214C" w:rsidP="00C802EB">
            <w:pPr>
              <w:spacing w:line="360" w:lineRule="auto"/>
              <w:rPr>
                <w:rFonts w:ascii="仿宋" w:eastAsia="仿宋" w:hAnsi="仿宋" w:cs="Arial"/>
                <w:szCs w:val="21"/>
              </w:rPr>
            </w:pPr>
            <w:r w:rsidRPr="00B33B2A">
              <w:rPr>
                <w:rFonts w:ascii="仿宋" w:eastAsia="仿宋" w:hAnsi="仿宋" w:cs="Arial" w:hint="eastAsia"/>
                <w:szCs w:val="21"/>
              </w:rPr>
              <w:t>见费出单</w:t>
            </w:r>
          </w:p>
        </w:tc>
      </w:tr>
      <w:tr w:rsidR="00DB214C" w:rsidRPr="00B33B2A" w:rsidTr="00C802EB">
        <w:trPr>
          <w:trHeight w:val="454"/>
        </w:trPr>
        <w:tc>
          <w:tcPr>
            <w:tcW w:w="1890" w:type="dxa"/>
          </w:tcPr>
          <w:p w:rsidR="00DB214C" w:rsidRPr="00B33B2A" w:rsidRDefault="00DB214C" w:rsidP="00C802EB">
            <w:pPr>
              <w:spacing w:line="360" w:lineRule="auto"/>
              <w:rPr>
                <w:rFonts w:ascii="仿宋" w:eastAsia="仿宋" w:hAnsi="仿宋" w:cs="Arial"/>
                <w:b/>
                <w:bCs/>
                <w:szCs w:val="21"/>
              </w:rPr>
            </w:pPr>
            <w:r w:rsidRPr="00B33B2A">
              <w:rPr>
                <w:rFonts w:ascii="仿宋" w:eastAsia="仿宋" w:hAnsi="仿宋" w:cs="Arial" w:hint="eastAsia"/>
                <w:b/>
                <w:bCs/>
                <w:szCs w:val="21"/>
              </w:rPr>
              <w:t>司法管辖</w:t>
            </w:r>
          </w:p>
        </w:tc>
        <w:tc>
          <w:tcPr>
            <w:tcW w:w="450" w:type="dxa"/>
          </w:tcPr>
          <w:p w:rsidR="00DB214C" w:rsidRPr="00B33B2A" w:rsidRDefault="00DB214C" w:rsidP="00C802EB">
            <w:pPr>
              <w:spacing w:line="360" w:lineRule="auto"/>
              <w:rPr>
                <w:rFonts w:ascii="仿宋" w:eastAsia="仿宋" w:hAnsi="仿宋" w:cs="Arial"/>
                <w:b/>
                <w:bCs/>
                <w:szCs w:val="21"/>
              </w:rPr>
            </w:pPr>
            <w:r w:rsidRPr="00B33B2A">
              <w:rPr>
                <w:rFonts w:ascii="仿宋" w:eastAsia="仿宋" w:hAnsi="仿宋" w:cs="Arial" w:hint="eastAsia"/>
                <w:b/>
                <w:bCs/>
                <w:szCs w:val="21"/>
              </w:rPr>
              <w:t>:</w:t>
            </w:r>
          </w:p>
        </w:tc>
        <w:tc>
          <w:tcPr>
            <w:tcW w:w="6120" w:type="dxa"/>
          </w:tcPr>
          <w:p w:rsidR="00DB214C" w:rsidRPr="00B33B2A" w:rsidRDefault="00DB214C" w:rsidP="00C802EB">
            <w:pPr>
              <w:spacing w:line="360" w:lineRule="auto"/>
              <w:rPr>
                <w:rFonts w:ascii="仿宋" w:eastAsia="仿宋" w:hAnsi="仿宋" w:cs="Arial"/>
                <w:spacing w:val="20"/>
                <w:szCs w:val="21"/>
              </w:rPr>
            </w:pPr>
            <w:r w:rsidRPr="00B33B2A">
              <w:rPr>
                <w:rFonts w:ascii="仿宋" w:eastAsia="仿宋" w:hAnsi="仿宋" w:cs="Arial" w:hint="eastAsia"/>
                <w:szCs w:val="21"/>
              </w:rPr>
              <w:t>中华人民共和国司法管辖</w:t>
            </w:r>
            <w:r w:rsidRPr="00B33B2A">
              <w:rPr>
                <w:rFonts w:ascii="仿宋" w:eastAsia="仿宋" w:hAnsi="仿宋"/>
                <w:szCs w:val="21"/>
              </w:rPr>
              <w:t>（不包括港、澳、台地区）</w:t>
            </w:r>
          </w:p>
        </w:tc>
      </w:tr>
      <w:tr w:rsidR="00DB214C" w:rsidRPr="00B33B2A" w:rsidTr="00C802EB">
        <w:trPr>
          <w:cantSplit/>
          <w:trHeight w:val="462"/>
        </w:trPr>
        <w:tc>
          <w:tcPr>
            <w:tcW w:w="1890" w:type="dxa"/>
          </w:tcPr>
          <w:p w:rsidR="00DB214C" w:rsidRPr="00B33B2A" w:rsidRDefault="00DB214C" w:rsidP="00C802EB">
            <w:pPr>
              <w:spacing w:line="360" w:lineRule="auto"/>
              <w:rPr>
                <w:rFonts w:ascii="仿宋" w:eastAsia="仿宋" w:hAnsi="仿宋" w:cs="Arial"/>
                <w:b/>
                <w:szCs w:val="21"/>
              </w:rPr>
            </w:pPr>
            <w:r w:rsidRPr="00B33B2A">
              <w:rPr>
                <w:rFonts w:ascii="仿宋" w:eastAsia="仿宋" w:hAnsi="仿宋" w:cs="Arial" w:hint="eastAsia"/>
                <w:b/>
                <w:szCs w:val="21"/>
              </w:rPr>
              <w:t>基本条款</w:t>
            </w:r>
          </w:p>
        </w:tc>
        <w:tc>
          <w:tcPr>
            <w:tcW w:w="450" w:type="dxa"/>
          </w:tcPr>
          <w:p w:rsidR="00DB214C" w:rsidRPr="00B33B2A" w:rsidRDefault="00DB214C" w:rsidP="00C802EB">
            <w:pPr>
              <w:spacing w:line="360" w:lineRule="auto"/>
              <w:rPr>
                <w:rFonts w:ascii="仿宋" w:eastAsia="仿宋" w:hAnsi="仿宋" w:cs="Arial"/>
                <w:b/>
                <w:szCs w:val="21"/>
              </w:rPr>
            </w:pPr>
            <w:r w:rsidRPr="00B33B2A">
              <w:rPr>
                <w:rFonts w:ascii="仿宋" w:eastAsia="仿宋" w:hAnsi="仿宋" w:cs="Arial" w:hint="eastAsia"/>
                <w:b/>
                <w:szCs w:val="21"/>
              </w:rPr>
              <w:t>:</w:t>
            </w:r>
          </w:p>
        </w:tc>
        <w:tc>
          <w:tcPr>
            <w:tcW w:w="6120" w:type="dxa"/>
          </w:tcPr>
          <w:p w:rsidR="00DB214C" w:rsidRPr="00B33B2A" w:rsidRDefault="00DB214C" w:rsidP="00C802EB">
            <w:pPr>
              <w:pStyle w:val="10"/>
              <w:rPr>
                <w:rFonts w:ascii="仿宋" w:eastAsia="仿宋" w:hAnsi="仿宋"/>
                <w:sz w:val="21"/>
                <w:szCs w:val="21"/>
              </w:rPr>
            </w:pPr>
            <w:r w:rsidRPr="00B33B2A">
              <w:rPr>
                <w:rFonts w:ascii="仿宋" w:eastAsia="仿宋" w:hAnsi="仿宋" w:hint="eastAsia"/>
                <w:sz w:val="21"/>
                <w:szCs w:val="21"/>
              </w:rPr>
              <w:t>公众责任险条款</w:t>
            </w:r>
          </w:p>
        </w:tc>
      </w:tr>
      <w:tr w:rsidR="00DB214C" w:rsidRPr="00B33B2A" w:rsidTr="00C802EB">
        <w:trPr>
          <w:cantSplit/>
          <w:trHeight w:val="90"/>
        </w:trPr>
        <w:tc>
          <w:tcPr>
            <w:tcW w:w="1890" w:type="dxa"/>
          </w:tcPr>
          <w:p w:rsidR="00DB214C" w:rsidRPr="00B33B2A" w:rsidRDefault="00DB214C" w:rsidP="00C802EB">
            <w:pPr>
              <w:spacing w:line="360" w:lineRule="auto"/>
              <w:rPr>
                <w:rFonts w:ascii="仿宋" w:eastAsia="仿宋" w:hAnsi="仿宋" w:cs="Arial"/>
                <w:b/>
                <w:szCs w:val="21"/>
              </w:rPr>
            </w:pPr>
            <w:r w:rsidRPr="00B33B2A">
              <w:rPr>
                <w:rFonts w:ascii="仿宋" w:eastAsia="仿宋" w:hAnsi="仿宋" w:cs="Arial" w:hint="eastAsia"/>
                <w:b/>
                <w:szCs w:val="21"/>
              </w:rPr>
              <w:t>被保险地址</w:t>
            </w:r>
          </w:p>
        </w:tc>
        <w:tc>
          <w:tcPr>
            <w:tcW w:w="450" w:type="dxa"/>
          </w:tcPr>
          <w:p w:rsidR="00DB214C" w:rsidRPr="00B33B2A" w:rsidRDefault="00DB214C" w:rsidP="00C802EB">
            <w:pPr>
              <w:spacing w:line="360" w:lineRule="auto"/>
              <w:rPr>
                <w:rFonts w:ascii="仿宋" w:eastAsia="仿宋" w:hAnsi="仿宋" w:cs="Arial"/>
                <w:b/>
                <w:szCs w:val="21"/>
              </w:rPr>
            </w:pPr>
            <w:r w:rsidRPr="00B33B2A">
              <w:rPr>
                <w:rFonts w:ascii="仿宋" w:eastAsia="仿宋" w:hAnsi="仿宋" w:cs="Arial" w:hint="eastAsia"/>
                <w:b/>
                <w:szCs w:val="21"/>
              </w:rPr>
              <w:t>:</w:t>
            </w:r>
          </w:p>
        </w:tc>
        <w:tc>
          <w:tcPr>
            <w:tcW w:w="6120" w:type="dxa"/>
          </w:tcPr>
          <w:p w:rsidR="00DB214C" w:rsidRPr="00B33B2A" w:rsidRDefault="00DB214C" w:rsidP="00C802EB">
            <w:pPr>
              <w:spacing w:line="360" w:lineRule="auto"/>
              <w:jc w:val="left"/>
              <w:rPr>
                <w:rFonts w:ascii="仿宋" w:eastAsia="仿宋" w:hAnsi="仿宋" w:cs="Arial"/>
                <w:szCs w:val="21"/>
              </w:rPr>
            </w:pPr>
            <w:r w:rsidRPr="00B33B2A">
              <w:rPr>
                <w:rFonts w:ascii="仿宋" w:eastAsia="仿宋" w:hAnsi="仿宋" w:cs="Arial" w:hint="eastAsia"/>
                <w:szCs w:val="21"/>
              </w:rPr>
              <w:t>苏州阳澄湖半岛旅游度假区</w:t>
            </w:r>
          </w:p>
          <w:p w:rsidR="00DB214C" w:rsidRPr="00B33B2A" w:rsidRDefault="00DB214C" w:rsidP="00C802EB">
            <w:pPr>
              <w:spacing w:line="360" w:lineRule="auto"/>
              <w:rPr>
                <w:rFonts w:ascii="仿宋" w:eastAsia="仿宋" w:hAnsi="仿宋" w:cs="Arial"/>
                <w:szCs w:val="21"/>
              </w:rPr>
            </w:pPr>
            <w:r w:rsidRPr="00B33B2A">
              <w:rPr>
                <w:rFonts w:ascii="仿宋" w:eastAsia="仿宋" w:hAnsi="仿宋" w:hint="eastAsia"/>
                <w:szCs w:val="21"/>
              </w:rPr>
              <w:t>注：如有其他被保险财产地址需增加进去</w:t>
            </w:r>
          </w:p>
        </w:tc>
      </w:tr>
      <w:tr w:rsidR="00DB214C" w:rsidRPr="00B33B2A" w:rsidTr="00C802EB">
        <w:trPr>
          <w:cantSplit/>
          <w:trHeight w:val="472"/>
        </w:trPr>
        <w:tc>
          <w:tcPr>
            <w:tcW w:w="1890" w:type="dxa"/>
          </w:tcPr>
          <w:p w:rsidR="00DB214C" w:rsidRPr="00B33B2A" w:rsidRDefault="00DB214C" w:rsidP="00C802EB">
            <w:pPr>
              <w:spacing w:line="360" w:lineRule="auto"/>
              <w:rPr>
                <w:rFonts w:ascii="仿宋" w:eastAsia="仿宋" w:hAnsi="仿宋" w:cs="Arial"/>
                <w:b/>
                <w:szCs w:val="21"/>
              </w:rPr>
            </w:pPr>
            <w:r w:rsidRPr="00B33B2A">
              <w:rPr>
                <w:rFonts w:ascii="仿宋" w:eastAsia="仿宋" w:hAnsi="仿宋" w:cs="Arial" w:hint="eastAsia"/>
                <w:b/>
                <w:szCs w:val="21"/>
              </w:rPr>
              <w:t>承保地域范围</w:t>
            </w:r>
          </w:p>
        </w:tc>
        <w:tc>
          <w:tcPr>
            <w:tcW w:w="450" w:type="dxa"/>
          </w:tcPr>
          <w:p w:rsidR="00DB214C" w:rsidRPr="00B33B2A" w:rsidRDefault="00DB214C" w:rsidP="00C802EB">
            <w:pPr>
              <w:spacing w:line="360" w:lineRule="auto"/>
              <w:rPr>
                <w:rFonts w:ascii="仿宋" w:eastAsia="仿宋" w:hAnsi="仿宋" w:cs="Arial"/>
                <w:b/>
                <w:szCs w:val="21"/>
              </w:rPr>
            </w:pPr>
            <w:r w:rsidRPr="00B33B2A">
              <w:rPr>
                <w:rFonts w:ascii="仿宋" w:eastAsia="仿宋" w:hAnsi="仿宋" w:cs="Arial" w:hint="eastAsia"/>
                <w:b/>
                <w:szCs w:val="21"/>
              </w:rPr>
              <w:t>:</w:t>
            </w:r>
          </w:p>
        </w:tc>
        <w:tc>
          <w:tcPr>
            <w:tcW w:w="6120" w:type="dxa"/>
          </w:tcPr>
          <w:p w:rsidR="00DB214C" w:rsidRPr="00B33B2A" w:rsidRDefault="00DB214C" w:rsidP="00C802EB">
            <w:pPr>
              <w:spacing w:line="360" w:lineRule="auto"/>
              <w:rPr>
                <w:rFonts w:ascii="仿宋" w:eastAsia="仿宋" w:hAnsi="仿宋"/>
                <w:szCs w:val="21"/>
              </w:rPr>
            </w:pPr>
            <w:r w:rsidRPr="00B33B2A">
              <w:rPr>
                <w:rFonts w:ascii="仿宋" w:eastAsia="仿宋" w:hAnsi="仿宋" w:hint="eastAsia"/>
                <w:szCs w:val="21"/>
              </w:rPr>
              <w:t>包括但不限于上述所列各项被保险地址及其附近范围</w:t>
            </w:r>
          </w:p>
          <w:p w:rsidR="00DB214C" w:rsidRPr="00B33B2A" w:rsidRDefault="00DB214C" w:rsidP="00C802EB">
            <w:pPr>
              <w:spacing w:line="360" w:lineRule="auto"/>
              <w:rPr>
                <w:rFonts w:ascii="仿宋" w:eastAsia="仿宋" w:hAnsi="仿宋"/>
                <w:szCs w:val="21"/>
              </w:rPr>
            </w:pPr>
            <w:r w:rsidRPr="00B33B2A">
              <w:rPr>
                <w:rFonts w:ascii="仿宋" w:eastAsia="仿宋" w:hAnsi="仿宋" w:hint="eastAsia"/>
                <w:szCs w:val="21"/>
              </w:rPr>
              <w:t>临时海外公干责任条款：世界范围</w:t>
            </w:r>
          </w:p>
        </w:tc>
      </w:tr>
      <w:tr w:rsidR="00DB214C" w:rsidRPr="00B33B2A" w:rsidTr="00C802EB">
        <w:trPr>
          <w:cantSplit/>
          <w:trHeight w:val="472"/>
        </w:trPr>
        <w:tc>
          <w:tcPr>
            <w:tcW w:w="1890" w:type="dxa"/>
          </w:tcPr>
          <w:p w:rsidR="00DB214C" w:rsidRPr="00B33B2A" w:rsidRDefault="00DB214C" w:rsidP="00C802EB">
            <w:pPr>
              <w:spacing w:line="360" w:lineRule="auto"/>
              <w:rPr>
                <w:rFonts w:ascii="仿宋" w:eastAsia="仿宋" w:hAnsi="仿宋" w:cs="Arial"/>
                <w:b/>
                <w:szCs w:val="21"/>
              </w:rPr>
            </w:pPr>
            <w:r w:rsidRPr="00B33B2A">
              <w:rPr>
                <w:rFonts w:ascii="仿宋" w:eastAsia="仿宋" w:hAnsi="仿宋" w:cs="Arial" w:hint="eastAsia"/>
                <w:b/>
                <w:szCs w:val="21"/>
              </w:rPr>
              <w:t>承保基础</w:t>
            </w:r>
          </w:p>
        </w:tc>
        <w:tc>
          <w:tcPr>
            <w:tcW w:w="450" w:type="dxa"/>
          </w:tcPr>
          <w:p w:rsidR="00DB214C" w:rsidRPr="00B33B2A" w:rsidRDefault="00DB214C" w:rsidP="00C802EB">
            <w:pPr>
              <w:spacing w:line="360" w:lineRule="auto"/>
              <w:rPr>
                <w:rFonts w:ascii="仿宋" w:eastAsia="仿宋" w:hAnsi="仿宋" w:cs="Arial"/>
                <w:b/>
                <w:szCs w:val="21"/>
              </w:rPr>
            </w:pPr>
            <w:r w:rsidRPr="00B33B2A">
              <w:rPr>
                <w:rFonts w:ascii="仿宋" w:eastAsia="仿宋" w:hAnsi="仿宋" w:cs="Arial" w:hint="eastAsia"/>
                <w:b/>
                <w:szCs w:val="21"/>
              </w:rPr>
              <w:t>：</w:t>
            </w:r>
          </w:p>
        </w:tc>
        <w:tc>
          <w:tcPr>
            <w:tcW w:w="6120" w:type="dxa"/>
          </w:tcPr>
          <w:p w:rsidR="00DB214C" w:rsidRPr="00B33B2A" w:rsidRDefault="00DB214C" w:rsidP="00C802EB">
            <w:pPr>
              <w:spacing w:line="360" w:lineRule="auto"/>
              <w:rPr>
                <w:rFonts w:ascii="仿宋" w:eastAsia="仿宋" w:hAnsi="仿宋"/>
                <w:szCs w:val="21"/>
              </w:rPr>
            </w:pPr>
            <w:r w:rsidRPr="00B33B2A">
              <w:rPr>
                <w:rFonts w:ascii="仿宋" w:eastAsia="仿宋" w:hAnsi="仿宋" w:hint="eastAsia"/>
                <w:szCs w:val="21"/>
              </w:rPr>
              <w:t>期内发生式</w:t>
            </w:r>
          </w:p>
        </w:tc>
      </w:tr>
      <w:tr w:rsidR="00DB214C" w:rsidRPr="00B33B2A" w:rsidTr="00C802EB">
        <w:trPr>
          <w:trHeight w:val="636"/>
        </w:trPr>
        <w:tc>
          <w:tcPr>
            <w:tcW w:w="1890" w:type="dxa"/>
          </w:tcPr>
          <w:p w:rsidR="00DB214C" w:rsidRPr="00B33B2A" w:rsidRDefault="00DB214C" w:rsidP="00C802EB">
            <w:pPr>
              <w:pStyle w:val="a5"/>
              <w:spacing w:before="0" w:line="360" w:lineRule="auto"/>
              <w:rPr>
                <w:rFonts w:ascii="仿宋" w:eastAsia="仿宋" w:hAnsi="仿宋"/>
                <w:szCs w:val="21"/>
              </w:rPr>
            </w:pPr>
            <w:r w:rsidRPr="00B33B2A">
              <w:rPr>
                <w:rFonts w:ascii="仿宋" w:eastAsia="仿宋" w:hAnsi="仿宋" w:hint="eastAsia"/>
                <w:szCs w:val="21"/>
              </w:rPr>
              <w:t>特别条款</w:t>
            </w:r>
          </w:p>
        </w:tc>
        <w:tc>
          <w:tcPr>
            <w:tcW w:w="450" w:type="dxa"/>
          </w:tcPr>
          <w:p w:rsidR="00DB214C" w:rsidRPr="00B33B2A" w:rsidRDefault="00DB214C" w:rsidP="00C802EB">
            <w:pPr>
              <w:pStyle w:val="a5"/>
              <w:spacing w:before="0" w:line="360" w:lineRule="auto"/>
              <w:rPr>
                <w:rFonts w:ascii="仿宋" w:eastAsia="仿宋" w:hAnsi="仿宋"/>
                <w:szCs w:val="21"/>
              </w:rPr>
            </w:pPr>
            <w:r w:rsidRPr="00B33B2A">
              <w:rPr>
                <w:rFonts w:ascii="仿宋" w:eastAsia="仿宋" w:hAnsi="仿宋" w:hint="eastAsia"/>
                <w:szCs w:val="21"/>
              </w:rPr>
              <w:t>:</w:t>
            </w:r>
          </w:p>
        </w:tc>
        <w:tc>
          <w:tcPr>
            <w:tcW w:w="6120" w:type="dxa"/>
          </w:tcPr>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交叉责任条款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自动承保新增地点条款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电梯、机器及大厦自动装置条款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建筑物改变条款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急救费用条款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广告招牌及装饰物责任条款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停车场责任条款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火灾、爆炸、烟熏、水损责任条款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错误和遗漏条款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lastRenderedPageBreak/>
              <w:t>临时海外公干责任条款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董事及高级管理人员第三者责任条款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罢工、暴乱、民众骚乱及恶意破坏条款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被保险人照料、保管或控制下的业主家具、装置及设施条款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出租人责任条款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社交娱乐活动责任条款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食品、饮料责任条款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暴力行为、抢劫责任条款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人身侵害责任条款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放弃代位追偿条款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服务人员条款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附加被保险人条款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卫生设施缺陷条款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客人财产责任条款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恐怖活动条款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综合车辆责任条款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幕墙玻璃及其它物体掉落责任条款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震动、移动或减弱支撑扩展条款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监管之财产条款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场所外第三者责任条款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停电责任损失条款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车辆装卸责任条款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没有公共场所行驶证的车辆责任条款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无过失责任条款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扩展游客猝死赔偿责任</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cs="Arial" w:hint="eastAsia"/>
                <w:szCs w:val="21"/>
              </w:rPr>
              <w:t>保单不得注销条款</w:t>
            </w:r>
          </w:p>
          <w:p w:rsidR="00DB214C" w:rsidRPr="00B33B2A" w:rsidRDefault="00DB214C" w:rsidP="00DB214C">
            <w:pPr>
              <w:numPr>
                <w:ilvl w:val="0"/>
                <w:numId w:val="4"/>
              </w:numPr>
              <w:tabs>
                <w:tab w:val="left" w:pos="425"/>
              </w:tabs>
              <w:spacing w:line="360" w:lineRule="auto"/>
              <w:rPr>
                <w:rFonts w:ascii="仿宋" w:eastAsia="仿宋" w:hAnsi="仿宋"/>
                <w:szCs w:val="21"/>
              </w:rPr>
            </w:pPr>
            <w:r w:rsidRPr="00B33B2A">
              <w:rPr>
                <w:rFonts w:ascii="仿宋" w:eastAsia="仿宋" w:hAnsi="仿宋" w:hint="eastAsia"/>
                <w:szCs w:val="21"/>
              </w:rPr>
              <w:t xml:space="preserve">不受控制条款 </w:t>
            </w:r>
          </w:p>
        </w:tc>
      </w:tr>
      <w:tr w:rsidR="00DB214C" w:rsidRPr="00B33B2A" w:rsidTr="00C802EB">
        <w:trPr>
          <w:trHeight w:val="609"/>
        </w:trPr>
        <w:tc>
          <w:tcPr>
            <w:tcW w:w="1890" w:type="dxa"/>
          </w:tcPr>
          <w:p w:rsidR="00DB214C" w:rsidRPr="00B33B2A" w:rsidRDefault="00DB214C" w:rsidP="00C802EB">
            <w:pPr>
              <w:pStyle w:val="a5"/>
              <w:spacing w:before="0" w:line="360" w:lineRule="auto"/>
              <w:rPr>
                <w:rFonts w:ascii="仿宋" w:eastAsia="仿宋" w:hAnsi="仿宋"/>
                <w:szCs w:val="21"/>
              </w:rPr>
            </w:pPr>
            <w:r w:rsidRPr="00B33B2A">
              <w:rPr>
                <w:rFonts w:ascii="仿宋" w:eastAsia="仿宋" w:hAnsi="仿宋" w:hint="eastAsia"/>
                <w:szCs w:val="21"/>
              </w:rPr>
              <w:lastRenderedPageBreak/>
              <w:t>赔偿限额</w:t>
            </w:r>
          </w:p>
        </w:tc>
        <w:tc>
          <w:tcPr>
            <w:tcW w:w="450" w:type="dxa"/>
          </w:tcPr>
          <w:p w:rsidR="00DB214C" w:rsidRPr="00B33B2A" w:rsidRDefault="00DB214C" w:rsidP="00C802EB">
            <w:pPr>
              <w:spacing w:line="360" w:lineRule="auto"/>
              <w:rPr>
                <w:rFonts w:ascii="仿宋" w:eastAsia="仿宋" w:hAnsi="仿宋"/>
                <w:b/>
                <w:szCs w:val="21"/>
              </w:rPr>
            </w:pPr>
            <w:r w:rsidRPr="00B33B2A">
              <w:rPr>
                <w:rFonts w:ascii="仿宋" w:eastAsia="仿宋" w:hAnsi="仿宋" w:hint="eastAsia"/>
                <w:b/>
                <w:szCs w:val="21"/>
              </w:rPr>
              <w:t>:</w:t>
            </w:r>
          </w:p>
        </w:tc>
        <w:tc>
          <w:tcPr>
            <w:tcW w:w="6120" w:type="dxa"/>
          </w:tcPr>
          <w:p w:rsidR="00DB214C" w:rsidRPr="00B33B2A" w:rsidRDefault="009A68CC" w:rsidP="00C802EB">
            <w:pPr>
              <w:spacing w:line="360" w:lineRule="auto"/>
              <w:rPr>
                <w:rFonts w:ascii="仿宋" w:eastAsia="仿宋" w:hAnsi="仿宋"/>
                <w:b/>
                <w:color w:val="FF0000"/>
                <w:szCs w:val="21"/>
              </w:rPr>
            </w:pPr>
            <w:r w:rsidRPr="00B33B2A">
              <w:rPr>
                <w:rFonts w:ascii="仿宋" w:eastAsia="仿宋" w:hAnsi="仿宋" w:hint="eastAsia"/>
                <w:b/>
                <w:color w:val="FF0000"/>
                <w:szCs w:val="21"/>
              </w:rPr>
              <w:t>方案1：</w:t>
            </w:r>
            <w:r w:rsidR="00DB214C" w:rsidRPr="00B33B2A">
              <w:rPr>
                <w:rFonts w:ascii="仿宋" w:eastAsia="仿宋" w:hAnsi="仿宋" w:hint="eastAsia"/>
                <w:b/>
                <w:color w:val="FF0000"/>
                <w:szCs w:val="21"/>
              </w:rPr>
              <w:t>保险期限内累计/每次事故赔偿限额：RMB10,000,000.00</w:t>
            </w:r>
          </w:p>
          <w:p w:rsidR="009A68CC" w:rsidRPr="00B33B2A" w:rsidRDefault="009A68CC" w:rsidP="00C802EB">
            <w:pPr>
              <w:spacing w:line="360" w:lineRule="auto"/>
              <w:rPr>
                <w:rFonts w:ascii="仿宋" w:eastAsia="仿宋" w:hAnsi="仿宋"/>
                <w:b/>
                <w:color w:val="FF0000"/>
                <w:szCs w:val="21"/>
              </w:rPr>
            </w:pPr>
            <w:r w:rsidRPr="00B33B2A">
              <w:rPr>
                <w:rFonts w:ascii="仿宋" w:eastAsia="仿宋" w:hAnsi="仿宋" w:hint="eastAsia"/>
                <w:b/>
                <w:color w:val="FF0000"/>
                <w:szCs w:val="21"/>
              </w:rPr>
              <w:t>方案2：保险期限内累计/每次事故赔偿限额：RMB5,000,000.00</w:t>
            </w:r>
          </w:p>
          <w:p w:rsidR="00DB214C" w:rsidRPr="00B33B2A" w:rsidRDefault="00DB214C" w:rsidP="00C802EB">
            <w:pPr>
              <w:spacing w:line="360" w:lineRule="auto"/>
              <w:rPr>
                <w:rFonts w:ascii="仿宋" w:eastAsia="仿宋" w:hAnsi="仿宋"/>
                <w:szCs w:val="21"/>
              </w:rPr>
            </w:pPr>
            <w:r w:rsidRPr="00B33B2A">
              <w:rPr>
                <w:rFonts w:ascii="仿宋" w:eastAsia="仿宋" w:hAnsi="仿宋" w:hint="eastAsia"/>
                <w:szCs w:val="21"/>
              </w:rPr>
              <w:lastRenderedPageBreak/>
              <w:t>累计法律费用赔偿限额：RMB500,000.00</w:t>
            </w:r>
          </w:p>
        </w:tc>
      </w:tr>
      <w:tr w:rsidR="00DB214C" w:rsidRPr="00B33B2A" w:rsidTr="00C802EB">
        <w:trPr>
          <w:cantSplit/>
          <w:trHeight w:val="821"/>
        </w:trPr>
        <w:tc>
          <w:tcPr>
            <w:tcW w:w="1890" w:type="dxa"/>
          </w:tcPr>
          <w:p w:rsidR="00DB214C" w:rsidRPr="00B33B2A" w:rsidRDefault="00DB214C" w:rsidP="00C802EB">
            <w:pPr>
              <w:pStyle w:val="a5"/>
              <w:spacing w:before="0" w:line="360" w:lineRule="auto"/>
              <w:rPr>
                <w:rFonts w:ascii="仿宋" w:eastAsia="仿宋" w:hAnsi="仿宋"/>
                <w:szCs w:val="21"/>
              </w:rPr>
            </w:pPr>
            <w:r w:rsidRPr="00B33B2A">
              <w:rPr>
                <w:rFonts w:ascii="仿宋" w:eastAsia="仿宋" w:hAnsi="仿宋" w:hint="eastAsia"/>
                <w:szCs w:val="21"/>
              </w:rPr>
              <w:lastRenderedPageBreak/>
              <w:t>每次事故绝对免赔额</w:t>
            </w:r>
          </w:p>
        </w:tc>
        <w:tc>
          <w:tcPr>
            <w:tcW w:w="450" w:type="dxa"/>
          </w:tcPr>
          <w:p w:rsidR="00DB214C" w:rsidRPr="00B33B2A" w:rsidRDefault="00DB214C" w:rsidP="00C802EB">
            <w:pPr>
              <w:spacing w:line="360" w:lineRule="auto"/>
              <w:rPr>
                <w:rFonts w:ascii="仿宋" w:eastAsia="仿宋" w:hAnsi="仿宋"/>
                <w:b/>
                <w:szCs w:val="21"/>
              </w:rPr>
            </w:pPr>
            <w:r w:rsidRPr="00B33B2A">
              <w:rPr>
                <w:rFonts w:ascii="仿宋" w:eastAsia="仿宋" w:hAnsi="仿宋" w:hint="eastAsia"/>
                <w:b/>
                <w:szCs w:val="21"/>
              </w:rPr>
              <w:t>:</w:t>
            </w:r>
          </w:p>
        </w:tc>
        <w:tc>
          <w:tcPr>
            <w:tcW w:w="6120" w:type="dxa"/>
          </w:tcPr>
          <w:p w:rsidR="00DB214C" w:rsidRPr="00B33B2A" w:rsidRDefault="00DB214C" w:rsidP="00C802EB">
            <w:pPr>
              <w:spacing w:line="360" w:lineRule="auto"/>
              <w:rPr>
                <w:rFonts w:ascii="仿宋" w:eastAsia="仿宋" w:hAnsi="仿宋"/>
                <w:szCs w:val="21"/>
              </w:rPr>
            </w:pPr>
            <w:r w:rsidRPr="00B33B2A">
              <w:rPr>
                <w:rFonts w:ascii="仿宋" w:eastAsia="仿宋" w:hAnsi="仿宋" w:hint="eastAsia"/>
                <w:szCs w:val="21"/>
              </w:rPr>
              <w:t>无免赔</w:t>
            </w:r>
          </w:p>
        </w:tc>
      </w:tr>
      <w:tr w:rsidR="00DB214C" w:rsidRPr="00B33B2A" w:rsidTr="00C802EB">
        <w:trPr>
          <w:cantSplit/>
          <w:trHeight w:val="605"/>
        </w:trPr>
        <w:tc>
          <w:tcPr>
            <w:tcW w:w="1890" w:type="dxa"/>
          </w:tcPr>
          <w:p w:rsidR="00DB214C" w:rsidRPr="00B33B2A" w:rsidRDefault="00DB214C" w:rsidP="00C802EB">
            <w:pPr>
              <w:pStyle w:val="a5"/>
              <w:spacing w:before="0" w:line="360" w:lineRule="auto"/>
              <w:rPr>
                <w:rFonts w:ascii="仿宋" w:eastAsia="仿宋" w:hAnsi="仿宋"/>
                <w:szCs w:val="21"/>
              </w:rPr>
            </w:pPr>
            <w:r w:rsidRPr="00B33B2A">
              <w:rPr>
                <w:rFonts w:ascii="仿宋" w:eastAsia="仿宋" w:hAnsi="仿宋" w:hint="eastAsia"/>
                <w:szCs w:val="21"/>
              </w:rPr>
              <w:t>保险费率</w:t>
            </w:r>
          </w:p>
        </w:tc>
        <w:tc>
          <w:tcPr>
            <w:tcW w:w="450" w:type="dxa"/>
          </w:tcPr>
          <w:p w:rsidR="00DB214C" w:rsidRPr="00B33B2A" w:rsidRDefault="00DB214C" w:rsidP="00C802EB">
            <w:pPr>
              <w:spacing w:line="360" w:lineRule="auto"/>
              <w:rPr>
                <w:rFonts w:ascii="仿宋" w:eastAsia="仿宋" w:hAnsi="仿宋"/>
                <w:b/>
                <w:szCs w:val="21"/>
              </w:rPr>
            </w:pPr>
            <w:r w:rsidRPr="00B33B2A">
              <w:rPr>
                <w:rFonts w:ascii="仿宋" w:eastAsia="仿宋" w:hAnsi="仿宋" w:hint="eastAsia"/>
                <w:b/>
                <w:szCs w:val="21"/>
              </w:rPr>
              <w:t>：</w:t>
            </w:r>
          </w:p>
        </w:tc>
        <w:tc>
          <w:tcPr>
            <w:tcW w:w="6120" w:type="dxa"/>
          </w:tcPr>
          <w:p w:rsidR="00DB214C" w:rsidRPr="00B33B2A" w:rsidRDefault="00DB214C" w:rsidP="00C802EB">
            <w:pPr>
              <w:spacing w:line="360" w:lineRule="auto"/>
              <w:rPr>
                <w:rFonts w:ascii="仿宋" w:eastAsia="仿宋" w:hAnsi="仿宋"/>
                <w:szCs w:val="21"/>
              </w:rPr>
            </w:pPr>
          </w:p>
        </w:tc>
      </w:tr>
      <w:tr w:rsidR="00DB214C" w:rsidRPr="00B33B2A" w:rsidTr="00C802EB">
        <w:trPr>
          <w:cantSplit/>
          <w:trHeight w:val="530"/>
        </w:trPr>
        <w:tc>
          <w:tcPr>
            <w:tcW w:w="1890" w:type="dxa"/>
          </w:tcPr>
          <w:p w:rsidR="00DB214C" w:rsidRPr="00B33B2A" w:rsidRDefault="00DB214C" w:rsidP="00C802EB">
            <w:pPr>
              <w:pStyle w:val="a5"/>
              <w:spacing w:before="0" w:line="360" w:lineRule="auto"/>
              <w:rPr>
                <w:rFonts w:ascii="仿宋" w:eastAsia="仿宋" w:hAnsi="仿宋"/>
                <w:szCs w:val="21"/>
              </w:rPr>
            </w:pPr>
            <w:r w:rsidRPr="00B33B2A">
              <w:rPr>
                <w:rFonts w:ascii="仿宋" w:eastAsia="仿宋" w:hAnsi="仿宋" w:hint="eastAsia"/>
                <w:szCs w:val="21"/>
              </w:rPr>
              <w:t>特别约定</w:t>
            </w:r>
          </w:p>
        </w:tc>
        <w:tc>
          <w:tcPr>
            <w:tcW w:w="450" w:type="dxa"/>
          </w:tcPr>
          <w:p w:rsidR="00DB214C" w:rsidRPr="00B33B2A" w:rsidRDefault="00DB214C" w:rsidP="00C802EB">
            <w:pPr>
              <w:spacing w:line="360" w:lineRule="auto"/>
              <w:rPr>
                <w:rFonts w:ascii="仿宋" w:eastAsia="仿宋" w:hAnsi="仿宋"/>
                <w:b/>
                <w:szCs w:val="21"/>
              </w:rPr>
            </w:pPr>
            <w:r w:rsidRPr="00B33B2A">
              <w:rPr>
                <w:rFonts w:ascii="仿宋" w:eastAsia="仿宋" w:hAnsi="仿宋" w:hint="eastAsia"/>
                <w:b/>
                <w:szCs w:val="21"/>
              </w:rPr>
              <w:t>:</w:t>
            </w:r>
          </w:p>
        </w:tc>
        <w:tc>
          <w:tcPr>
            <w:tcW w:w="6120" w:type="dxa"/>
          </w:tcPr>
          <w:p w:rsidR="00DB214C" w:rsidRPr="00B33B2A" w:rsidRDefault="00DB214C" w:rsidP="00C802EB">
            <w:pPr>
              <w:spacing w:line="360" w:lineRule="auto"/>
              <w:rPr>
                <w:rFonts w:ascii="仿宋" w:eastAsia="仿宋" w:hAnsi="仿宋"/>
                <w:szCs w:val="21"/>
              </w:rPr>
            </w:pPr>
            <w:r w:rsidRPr="00B33B2A">
              <w:rPr>
                <w:rFonts w:ascii="仿宋" w:eastAsia="仿宋" w:hAnsi="仿宋" w:hint="eastAsia"/>
                <w:szCs w:val="21"/>
              </w:rPr>
              <w:t>1、</w:t>
            </w:r>
            <w:r w:rsidRPr="00B33B2A">
              <w:rPr>
                <w:rFonts w:ascii="仿宋" w:eastAsia="仿宋" w:hAnsi="仿宋"/>
                <w:szCs w:val="21"/>
              </w:rPr>
              <w:t>本保单项下，</w:t>
            </w:r>
            <w:r w:rsidRPr="00B33B2A">
              <w:rPr>
                <w:rFonts w:ascii="仿宋" w:eastAsia="仿宋" w:hAnsi="仿宋" w:hint="eastAsia"/>
                <w:szCs w:val="21"/>
              </w:rPr>
              <w:t>保险人同意</w:t>
            </w:r>
            <w:r w:rsidRPr="00B33B2A">
              <w:rPr>
                <w:rFonts w:ascii="仿宋" w:eastAsia="仿宋" w:hAnsi="仿宋"/>
                <w:szCs w:val="21"/>
              </w:rPr>
              <w:t>第三者的范围包括除被保险人的雇员以外的</w:t>
            </w:r>
            <w:r w:rsidRPr="00B33B2A">
              <w:rPr>
                <w:rFonts w:ascii="仿宋" w:eastAsia="仿宋" w:hAnsi="仿宋" w:hint="eastAsia"/>
                <w:szCs w:val="21"/>
              </w:rPr>
              <w:t>自然人、法人或其它组织，若第三者在为被保险人提供服务过程中造成其它</w:t>
            </w:r>
            <w:r w:rsidRPr="00B33B2A">
              <w:rPr>
                <w:rFonts w:ascii="仿宋" w:eastAsia="仿宋" w:hAnsi="仿宋"/>
                <w:szCs w:val="21"/>
              </w:rPr>
              <w:t>第三者的人身伤亡和财产损失，依法应由被保险人承担的经济赔偿责任，保险人</w:t>
            </w:r>
            <w:r w:rsidRPr="00B33B2A">
              <w:rPr>
                <w:rFonts w:ascii="仿宋" w:eastAsia="仿宋" w:hAnsi="仿宋" w:hint="eastAsia"/>
                <w:szCs w:val="21"/>
              </w:rPr>
              <w:t>仍</w:t>
            </w:r>
            <w:r w:rsidRPr="00B33B2A">
              <w:rPr>
                <w:rFonts w:ascii="仿宋" w:eastAsia="仿宋" w:hAnsi="仿宋"/>
                <w:szCs w:val="21"/>
              </w:rPr>
              <w:t>负责赔偿</w:t>
            </w:r>
            <w:r w:rsidRPr="00B33B2A">
              <w:rPr>
                <w:rFonts w:ascii="仿宋" w:eastAsia="仿宋" w:hAnsi="仿宋" w:hint="eastAsia"/>
                <w:szCs w:val="21"/>
              </w:rPr>
              <w:t>。</w:t>
            </w:r>
          </w:p>
          <w:p w:rsidR="00DB214C" w:rsidRPr="00B33B2A" w:rsidRDefault="00DB214C" w:rsidP="00C802EB">
            <w:pPr>
              <w:spacing w:line="360" w:lineRule="auto"/>
              <w:rPr>
                <w:rFonts w:ascii="仿宋" w:eastAsia="仿宋" w:hAnsi="仿宋"/>
                <w:szCs w:val="21"/>
              </w:rPr>
            </w:pPr>
            <w:r w:rsidRPr="00B33B2A">
              <w:rPr>
                <w:rFonts w:ascii="仿宋" w:eastAsia="仿宋" w:hAnsi="仿宋" w:hint="eastAsia"/>
                <w:szCs w:val="21"/>
              </w:rPr>
              <w:t>2、保险人同意，被保险人在列明的场所范围内在从事经营活动或自身业务过程中因过失导致意外事故发生，造成第三者人身伤害或财产损失,依法应由被保险人承担的经济赔偿责任，保险人按照本合同约定负责赔偿。</w:t>
            </w:r>
          </w:p>
          <w:p w:rsidR="00DB214C" w:rsidRPr="00B33B2A" w:rsidRDefault="00DB214C" w:rsidP="00C802EB">
            <w:pPr>
              <w:spacing w:line="360" w:lineRule="auto"/>
              <w:rPr>
                <w:rFonts w:ascii="仿宋" w:eastAsia="仿宋" w:hAnsi="仿宋"/>
                <w:szCs w:val="21"/>
              </w:rPr>
            </w:pPr>
            <w:r w:rsidRPr="00B33B2A">
              <w:rPr>
                <w:rFonts w:ascii="仿宋" w:eastAsia="仿宋" w:hAnsi="仿宋" w:hint="eastAsia"/>
                <w:szCs w:val="21"/>
              </w:rPr>
              <w:t>3、在保险期间内，因自然灾害或意外事故导致在本保险单明细表中列明场所范围内的建筑物或周围地区布置的广告、霓虹灯、装饰物和相似物发生坠落、水损等情形造成第三者人身伤亡或财产损失，依法由被保险人承担的经济赔偿责任，保险按照本保险合同的约定负责赔偿。</w:t>
            </w:r>
          </w:p>
          <w:p w:rsidR="00DB214C" w:rsidRPr="00B33B2A" w:rsidRDefault="00DB214C" w:rsidP="00C802EB">
            <w:pPr>
              <w:spacing w:line="360" w:lineRule="auto"/>
              <w:rPr>
                <w:rFonts w:ascii="仿宋" w:eastAsia="仿宋" w:hAnsi="仿宋"/>
                <w:szCs w:val="21"/>
              </w:rPr>
            </w:pPr>
            <w:r w:rsidRPr="00B33B2A">
              <w:rPr>
                <w:rFonts w:ascii="仿宋" w:eastAsia="仿宋" w:hAnsi="仿宋" w:hint="eastAsia"/>
                <w:szCs w:val="21"/>
              </w:rPr>
              <w:t>4、扩展承保被保险人因出租的自行车，发生意外事故导致车上人员或车外人员财产损失或人身伤亡，依法应由被保险人承担的经济赔偿责任险，保险人负责赔偿。</w:t>
            </w:r>
          </w:p>
          <w:p w:rsidR="00DB214C" w:rsidRPr="00B33B2A" w:rsidRDefault="00DB214C" w:rsidP="00C802EB">
            <w:pPr>
              <w:spacing w:line="360" w:lineRule="auto"/>
              <w:rPr>
                <w:rFonts w:ascii="仿宋" w:eastAsia="仿宋" w:hAnsi="仿宋"/>
                <w:szCs w:val="21"/>
              </w:rPr>
            </w:pPr>
            <w:r w:rsidRPr="00B33B2A">
              <w:rPr>
                <w:rFonts w:ascii="仿宋" w:eastAsia="仿宋" w:hAnsi="仿宋" w:hint="eastAsia"/>
                <w:szCs w:val="21"/>
              </w:rPr>
              <w:t>5、保险期限不足一年的，按照日费率计收保险费。</w:t>
            </w:r>
          </w:p>
          <w:p w:rsidR="00DB214C" w:rsidRPr="00B33B2A" w:rsidRDefault="00DB214C" w:rsidP="00C802EB">
            <w:pPr>
              <w:spacing w:line="360" w:lineRule="auto"/>
              <w:rPr>
                <w:rFonts w:ascii="仿宋" w:eastAsia="仿宋" w:hAnsi="仿宋"/>
                <w:szCs w:val="21"/>
              </w:rPr>
            </w:pPr>
            <w:r w:rsidRPr="00B33B2A">
              <w:rPr>
                <w:rFonts w:ascii="仿宋" w:eastAsia="仿宋" w:hAnsi="仿宋" w:cs="宋体" w:hint="eastAsia"/>
                <w:szCs w:val="21"/>
              </w:rPr>
              <w:t>6、</w:t>
            </w:r>
            <w:r w:rsidRPr="00B33B2A">
              <w:rPr>
                <w:rFonts w:ascii="仿宋" w:eastAsia="仿宋" w:hAnsi="仿宋" w:cs="宋体"/>
                <w:szCs w:val="21"/>
              </w:rPr>
              <w:t>关于特别约定、特别条款和基本条款的效力：在本保险单中，特别约定的效力高于特别条款，特别条款的效力高于基本条款。</w:t>
            </w:r>
          </w:p>
        </w:tc>
      </w:tr>
    </w:tbl>
    <w:p w:rsidR="003F5894" w:rsidRPr="009A68CC" w:rsidRDefault="003F5894">
      <w:pPr>
        <w:rPr>
          <w:rFonts w:ascii="仿宋" w:eastAsia="仿宋" w:hAnsi="仿宋"/>
          <w:sz w:val="30"/>
          <w:szCs w:val="30"/>
        </w:rPr>
      </w:pPr>
    </w:p>
    <w:sectPr w:rsidR="003F5894" w:rsidRPr="009A68CC" w:rsidSect="006366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3F5" w:rsidRDefault="00C213F5" w:rsidP="00DF2B98">
      <w:r>
        <w:separator/>
      </w:r>
    </w:p>
  </w:endnote>
  <w:endnote w:type="continuationSeparator" w:id="1">
    <w:p w:rsidR="00C213F5" w:rsidRDefault="00C213F5" w:rsidP="00DF2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创艺简仿宋">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3F5" w:rsidRDefault="00C213F5" w:rsidP="00DF2B98">
      <w:r>
        <w:separator/>
      </w:r>
    </w:p>
  </w:footnote>
  <w:footnote w:type="continuationSeparator" w:id="1">
    <w:p w:rsidR="00C213F5" w:rsidRDefault="00C213F5" w:rsidP="00DF2B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suff w:val="nothing"/>
      <w:lvlText w:val="%1、"/>
      <w:lvlJc w:val="left"/>
    </w:lvl>
  </w:abstractNum>
  <w:abstractNum w:abstractNumId="1">
    <w:nsid w:val="00000008"/>
    <w:multiLevelType w:val="singleLevel"/>
    <w:tmpl w:val="00000008"/>
    <w:lvl w:ilvl="0">
      <w:start w:val="3"/>
      <w:numFmt w:val="chineseCounting"/>
      <w:suff w:val="nothing"/>
      <w:lvlText w:val="%1、"/>
      <w:lvlJc w:val="left"/>
    </w:lvl>
  </w:abstractNum>
  <w:abstractNum w:abstractNumId="2">
    <w:nsid w:val="0000000A"/>
    <w:multiLevelType w:val="singleLevel"/>
    <w:tmpl w:val="0000000A"/>
    <w:lvl w:ilvl="0">
      <w:start w:val="34"/>
      <w:numFmt w:val="decimal"/>
      <w:suff w:val="nothing"/>
      <w:lvlText w:val="%1、"/>
      <w:lvlJc w:val="left"/>
    </w:lvl>
  </w:abstractNum>
  <w:abstractNum w:abstractNumId="3">
    <w:nsid w:val="0000000B"/>
    <w:multiLevelType w:val="singleLevel"/>
    <w:tmpl w:val="0000000B"/>
    <w:lvl w:ilvl="0">
      <w:start w:val="1"/>
      <w:numFmt w:val="decimal"/>
      <w:lvlText w:val="%1."/>
      <w:lvlJc w:val="left"/>
      <w:pPr>
        <w:tabs>
          <w:tab w:val="num" w:pos="425"/>
        </w:tabs>
        <w:ind w:left="425" w:hanging="425"/>
      </w:pPr>
      <w:rPr>
        <w:rFonts w:hint="default"/>
      </w:rPr>
    </w:lvl>
  </w:abstractNum>
  <w:abstractNum w:abstractNumId="4">
    <w:nsid w:val="0000000C"/>
    <w:multiLevelType w:val="multilevel"/>
    <w:tmpl w:val="0000000C"/>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singleLevel"/>
    <w:tmpl w:val="0000000F"/>
    <w:lvl w:ilvl="0">
      <w:start w:val="1"/>
      <w:numFmt w:val="decimal"/>
      <w:suff w:val="nothing"/>
      <w:lvlText w:val="%1、"/>
      <w:lvlJc w:val="left"/>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2B98"/>
    <w:rsid w:val="00270B39"/>
    <w:rsid w:val="00277261"/>
    <w:rsid w:val="00321BC9"/>
    <w:rsid w:val="00373D05"/>
    <w:rsid w:val="00376C68"/>
    <w:rsid w:val="003F5894"/>
    <w:rsid w:val="00553CB2"/>
    <w:rsid w:val="00580A61"/>
    <w:rsid w:val="006366BC"/>
    <w:rsid w:val="0065186A"/>
    <w:rsid w:val="00793CAF"/>
    <w:rsid w:val="00913E2B"/>
    <w:rsid w:val="009A68CC"/>
    <w:rsid w:val="009A7B40"/>
    <w:rsid w:val="009F0BDA"/>
    <w:rsid w:val="00A748A6"/>
    <w:rsid w:val="00B33B2A"/>
    <w:rsid w:val="00C213F5"/>
    <w:rsid w:val="00DB214C"/>
    <w:rsid w:val="00DD1F32"/>
    <w:rsid w:val="00DF2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6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2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2B98"/>
    <w:rPr>
      <w:sz w:val="18"/>
      <w:szCs w:val="18"/>
    </w:rPr>
  </w:style>
  <w:style w:type="paragraph" w:styleId="a4">
    <w:name w:val="footer"/>
    <w:basedOn w:val="a"/>
    <w:link w:val="Char0"/>
    <w:uiPriority w:val="99"/>
    <w:semiHidden/>
    <w:unhideWhenUsed/>
    <w:rsid w:val="00DF2B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2B98"/>
    <w:rPr>
      <w:sz w:val="18"/>
      <w:szCs w:val="18"/>
    </w:rPr>
  </w:style>
  <w:style w:type="paragraph" w:customStyle="1" w:styleId="1">
    <w:name w:val="1"/>
    <w:basedOn w:val="a"/>
    <w:rsid w:val="00DF2B98"/>
    <w:pPr>
      <w:widowControl/>
      <w:spacing w:before="100" w:beforeAutospacing="1" w:after="100" w:afterAutospacing="1"/>
      <w:jc w:val="left"/>
    </w:pPr>
    <w:rPr>
      <w:rFonts w:ascii="宋体" w:eastAsia="宋体" w:hAnsi="宋体" w:cs="宋体"/>
      <w:kern w:val="0"/>
      <w:sz w:val="24"/>
      <w:szCs w:val="24"/>
    </w:rPr>
  </w:style>
  <w:style w:type="paragraph" w:styleId="a5">
    <w:name w:val="toa heading"/>
    <w:basedOn w:val="a"/>
    <w:next w:val="a"/>
    <w:rsid w:val="00270B39"/>
    <w:pPr>
      <w:spacing w:before="120"/>
    </w:pPr>
    <w:rPr>
      <w:rFonts w:ascii="Arial" w:eastAsia="宋体" w:hAnsi="Arial" w:cs="Times New Roman"/>
      <w:b/>
      <w:bCs/>
      <w:szCs w:val="24"/>
    </w:rPr>
  </w:style>
  <w:style w:type="paragraph" w:styleId="10">
    <w:name w:val="index 1"/>
    <w:basedOn w:val="a"/>
    <w:next w:val="a"/>
    <w:rsid w:val="00270B39"/>
    <w:rPr>
      <w:rFonts w:ascii="Times New Roman" w:eastAsia="楷体_gb2312" w:hAnsi="Times New Roman" w:cs="Times New Roman"/>
      <w:sz w:val="28"/>
      <w:szCs w:val="20"/>
    </w:rPr>
  </w:style>
  <w:style w:type="paragraph" w:styleId="a6">
    <w:name w:val="Body Text Indent"/>
    <w:basedOn w:val="a"/>
    <w:link w:val="Char1"/>
    <w:rsid w:val="00DB214C"/>
    <w:pPr>
      <w:spacing w:line="520" w:lineRule="exact"/>
      <w:ind w:left="570"/>
    </w:pPr>
    <w:rPr>
      <w:rFonts w:ascii="方正仿宋简体" w:eastAsia="方正仿宋简体" w:hAnsi="创艺简仿宋" w:cs="Times New Roman"/>
      <w:sz w:val="24"/>
      <w:szCs w:val="20"/>
    </w:rPr>
  </w:style>
  <w:style w:type="character" w:customStyle="1" w:styleId="Char1">
    <w:name w:val="正文文本缩进 Char"/>
    <w:basedOn w:val="a0"/>
    <w:link w:val="a6"/>
    <w:rsid w:val="00DB214C"/>
    <w:rPr>
      <w:rFonts w:ascii="方正仿宋简体" w:eastAsia="方正仿宋简体" w:hAnsi="创艺简仿宋" w:cs="Times New Roman"/>
      <w:sz w:val="24"/>
      <w:szCs w:val="20"/>
    </w:rPr>
  </w:style>
  <w:style w:type="paragraph" w:styleId="a7">
    <w:name w:val="annotation text"/>
    <w:basedOn w:val="a"/>
    <w:link w:val="Char2"/>
    <w:rsid w:val="00DB214C"/>
    <w:pPr>
      <w:jc w:val="left"/>
    </w:pPr>
    <w:rPr>
      <w:rFonts w:ascii="Times New Roman" w:eastAsia="宋体" w:hAnsi="Times New Roman" w:cs="Times New Roman"/>
      <w:szCs w:val="20"/>
    </w:rPr>
  </w:style>
  <w:style w:type="character" w:customStyle="1" w:styleId="Char2">
    <w:name w:val="批注文字 Char"/>
    <w:basedOn w:val="a0"/>
    <w:link w:val="a7"/>
    <w:rsid w:val="00DB214C"/>
    <w:rPr>
      <w:rFonts w:ascii="Times New Roman" w:eastAsia="宋体" w:hAnsi="Times New Roman" w:cs="Times New Roman"/>
      <w:szCs w:val="20"/>
    </w:rPr>
  </w:style>
  <w:style w:type="paragraph" w:styleId="a8">
    <w:name w:val="Normal Indent"/>
    <w:basedOn w:val="a"/>
    <w:rsid w:val="00DB214C"/>
    <w:pPr>
      <w:adjustRightInd w:val="0"/>
      <w:ind w:firstLine="420"/>
      <w:jc w:val="left"/>
      <w:textAlignment w:val="baseline"/>
    </w:pPr>
    <w:rPr>
      <w:rFonts w:ascii="Times New Roman" w:eastAsia="楷体_gb2312"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712467599">
      <w:bodyDiv w:val="1"/>
      <w:marLeft w:val="0"/>
      <w:marRight w:val="0"/>
      <w:marTop w:val="0"/>
      <w:marBottom w:val="0"/>
      <w:divBdr>
        <w:top w:val="none" w:sz="0" w:space="0" w:color="auto"/>
        <w:left w:val="none" w:sz="0" w:space="0" w:color="auto"/>
        <w:bottom w:val="none" w:sz="0" w:space="0" w:color="auto"/>
        <w:right w:val="none" w:sz="0" w:space="0" w:color="auto"/>
      </w:divBdr>
    </w:div>
    <w:div w:id="77085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25C8-EEDA-45EB-96A1-28A37A3C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ych-zhoubhn</dc:creator>
  <cp:keywords/>
  <dc:description/>
  <cp:lastModifiedBy>Microsoft</cp:lastModifiedBy>
  <cp:revision>9</cp:revision>
  <dcterms:created xsi:type="dcterms:W3CDTF">2016-10-26T06:31:00Z</dcterms:created>
  <dcterms:modified xsi:type="dcterms:W3CDTF">2016-11-08T07:16:00Z</dcterms:modified>
</cp:coreProperties>
</file>